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1" w:rsidRPr="007E20EB" w:rsidRDefault="005450F1" w:rsidP="0024582A">
      <w:pPr>
        <w:jc w:val="center"/>
        <w:rPr>
          <w:i/>
          <w:sz w:val="22"/>
          <w:szCs w:val="22"/>
        </w:rPr>
      </w:pPr>
      <w:r w:rsidRPr="007E20EB">
        <w:rPr>
          <w:b/>
          <w:i/>
          <w:sz w:val="22"/>
          <w:szCs w:val="22"/>
        </w:rPr>
        <w:t>Media</w:t>
      </w:r>
      <w:r w:rsidR="0011173B">
        <w:rPr>
          <w:b/>
          <w:i/>
          <w:sz w:val="22"/>
          <w:szCs w:val="22"/>
        </w:rPr>
        <w:t xml:space="preserve"> Relations Information for </w:t>
      </w:r>
      <w:r w:rsidR="00B575E3">
        <w:rPr>
          <w:b/>
          <w:i/>
          <w:sz w:val="22"/>
          <w:szCs w:val="22"/>
        </w:rPr>
        <w:t>0</w:t>
      </w:r>
      <w:r w:rsidR="00A50299">
        <w:rPr>
          <w:b/>
          <w:i/>
          <w:sz w:val="22"/>
          <w:szCs w:val="22"/>
        </w:rPr>
        <w:t>2/11</w:t>
      </w:r>
      <w:r w:rsidRPr="007E20EB">
        <w:rPr>
          <w:b/>
          <w:i/>
          <w:sz w:val="22"/>
          <w:szCs w:val="22"/>
        </w:rPr>
        <w:t>/201</w:t>
      </w:r>
      <w:r w:rsidR="00B575E3">
        <w:rPr>
          <w:b/>
          <w:i/>
          <w:sz w:val="22"/>
          <w:szCs w:val="22"/>
        </w:rPr>
        <w:t>2</w:t>
      </w:r>
    </w:p>
    <w:p w:rsidR="005450F1" w:rsidRPr="007E20EB" w:rsidRDefault="00497707" w:rsidP="00176211">
      <w:pPr>
        <w:jc w:val="center"/>
        <w:rPr>
          <w:i/>
          <w:sz w:val="18"/>
          <w:szCs w:val="18"/>
        </w:rPr>
      </w:pPr>
      <w:r w:rsidRPr="007E20EB">
        <w:rPr>
          <w:i/>
          <w:sz w:val="18"/>
          <w:szCs w:val="18"/>
        </w:rPr>
        <w:t>Public Relations Officer – Sgt</w:t>
      </w:r>
      <w:r w:rsidR="005450F1" w:rsidRPr="007E20EB">
        <w:rPr>
          <w:i/>
          <w:sz w:val="18"/>
          <w:szCs w:val="18"/>
        </w:rPr>
        <w:t>. John Krueger</w:t>
      </w:r>
    </w:p>
    <w:p w:rsidR="006D1EE7" w:rsidRPr="007E20EB" w:rsidRDefault="00497707" w:rsidP="00026334">
      <w:pPr>
        <w:jc w:val="center"/>
        <w:rPr>
          <w:i/>
          <w:sz w:val="18"/>
          <w:szCs w:val="18"/>
        </w:rPr>
      </w:pPr>
      <w:r w:rsidRPr="007E20EB">
        <w:rPr>
          <w:i/>
          <w:sz w:val="18"/>
          <w:szCs w:val="18"/>
        </w:rPr>
        <w:t>Office: 281-</w:t>
      </w:r>
      <w:r w:rsidR="005450F1" w:rsidRPr="007E20EB">
        <w:rPr>
          <w:i/>
          <w:sz w:val="18"/>
          <w:szCs w:val="18"/>
        </w:rPr>
        <w:t xml:space="preserve">842-3161 </w:t>
      </w:r>
    </w:p>
    <w:p w:rsidR="009A09B4" w:rsidRPr="009A09B4" w:rsidRDefault="009A09B4" w:rsidP="00026334">
      <w:pPr>
        <w:jc w:val="center"/>
        <w:rPr>
          <w:i/>
          <w:sz w:val="16"/>
          <w:szCs w:val="16"/>
        </w:rPr>
      </w:pPr>
    </w:p>
    <w:p w:rsidR="009A09B4" w:rsidRPr="005F0248" w:rsidRDefault="00963B20" w:rsidP="0011173B">
      <w:pPr>
        <w:autoSpaceDE w:val="0"/>
        <w:autoSpaceDN w:val="0"/>
        <w:adjustRightInd w:val="0"/>
        <w:jc w:val="center"/>
        <w:rPr>
          <w:b/>
          <w:bCs/>
          <w:sz w:val="38"/>
          <w:szCs w:val="38"/>
        </w:rPr>
      </w:pPr>
      <w:r w:rsidRPr="005F0248">
        <w:rPr>
          <w:b/>
          <w:bCs/>
          <w:sz w:val="38"/>
          <w:szCs w:val="38"/>
        </w:rPr>
        <w:t xml:space="preserve">La Porte Police </w:t>
      </w:r>
      <w:r w:rsidR="000E1F46">
        <w:rPr>
          <w:b/>
          <w:bCs/>
          <w:sz w:val="38"/>
          <w:szCs w:val="38"/>
        </w:rPr>
        <w:t>team with Municipal C</w:t>
      </w:r>
      <w:r w:rsidR="00DB7726">
        <w:rPr>
          <w:b/>
          <w:bCs/>
          <w:sz w:val="38"/>
          <w:szCs w:val="38"/>
        </w:rPr>
        <w:t>ourt in 2012 Texas Warrant Round-up</w:t>
      </w:r>
    </w:p>
    <w:p w:rsidR="00DB7726" w:rsidRPr="007B7491" w:rsidRDefault="00DB7726" w:rsidP="00DB7726"/>
    <w:p w:rsidR="00DB7726" w:rsidRPr="00DB7726" w:rsidRDefault="00DB7726" w:rsidP="00DB7726">
      <w:pPr>
        <w:jc w:val="both"/>
        <w:rPr>
          <w:sz w:val="24"/>
          <w:szCs w:val="24"/>
        </w:rPr>
      </w:pPr>
      <w:r w:rsidRPr="00DB7726">
        <w:rPr>
          <w:sz w:val="24"/>
          <w:szCs w:val="24"/>
        </w:rPr>
        <w:t>The City of La Porte’s Municipal Court and the La Porte Police Department have joined forces with more than 300 jurisdictions across Texas to actively participate in th</w:t>
      </w:r>
      <w:r w:rsidR="00A50299">
        <w:rPr>
          <w:sz w:val="24"/>
          <w:szCs w:val="24"/>
        </w:rPr>
        <w:t xml:space="preserve">e “2012 Texas Warrant Roundup”, </w:t>
      </w:r>
      <w:r w:rsidR="00586FA8">
        <w:rPr>
          <w:sz w:val="24"/>
          <w:szCs w:val="24"/>
        </w:rPr>
        <w:t xml:space="preserve">scheduled to start on </w:t>
      </w:r>
      <w:r w:rsidRPr="00DB7726">
        <w:rPr>
          <w:sz w:val="24"/>
          <w:szCs w:val="24"/>
        </w:rPr>
        <w:t>February 25</w:t>
      </w:r>
      <w:r w:rsidRPr="00DB7726">
        <w:rPr>
          <w:sz w:val="24"/>
          <w:szCs w:val="24"/>
          <w:vertAlign w:val="superscript"/>
        </w:rPr>
        <w:t>th</w:t>
      </w:r>
      <w:r w:rsidRPr="00DB7726">
        <w:rPr>
          <w:sz w:val="24"/>
          <w:szCs w:val="24"/>
        </w:rPr>
        <w:t xml:space="preserve">, 2012. Additional participating cities in the area include Baytown, Houston, Jacinto City, Galveston, League City, </w:t>
      </w:r>
      <w:proofErr w:type="gramStart"/>
      <w:r w:rsidRPr="00DB7726">
        <w:rPr>
          <w:sz w:val="24"/>
          <w:szCs w:val="24"/>
        </w:rPr>
        <w:t>Pasadena</w:t>
      </w:r>
      <w:proofErr w:type="gramEnd"/>
      <w:r w:rsidRPr="00DB7726">
        <w:rPr>
          <w:sz w:val="24"/>
          <w:szCs w:val="24"/>
        </w:rPr>
        <w:t xml:space="preserve">, Pearland, Webster and many others. The roundup is designed to target thousands of defendants with traffic, parking, city ordinance, </w:t>
      </w:r>
      <w:r w:rsidR="00586FA8">
        <w:rPr>
          <w:sz w:val="24"/>
          <w:szCs w:val="24"/>
        </w:rPr>
        <w:t xml:space="preserve">and criminal warrants.  </w:t>
      </w:r>
      <w:r w:rsidRPr="00DB7726">
        <w:rPr>
          <w:sz w:val="24"/>
          <w:szCs w:val="24"/>
        </w:rPr>
        <w:t xml:space="preserve"> </w:t>
      </w:r>
    </w:p>
    <w:p w:rsidR="00DB7726" w:rsidRPr="00DB7726" w:rsidRDefault="00DB7726" w:rsidP="00DB7726">
      <w:pPr>
        <w:jc w:val="both"/>
        <w:rPr>
          <w:sz w:val="24"/>
          <w:szCs w:val="24"/>
        </w:rPr>
      </w:pPr>
    </w:p>
    <w:p w:rsidR="00DB7726" w:rsidRPr="00DB7726" w:rsidRDefault="00DB7726" w:rsidP="00DB7726">
      <w:pPr>
        <w:jc w:val="both"/>
        <w:rPr>
          <w:sz w:val="24"/>
          <w:szCs w:val="24"/>
        </w:rPr>
      </w:pPr>
      <w:r w:rsidRPr="00DB7726">
        <w:rPr>
          <w:sz w:val="24"/>
          <w:szCs w:val="24"/>
        </w:rPr>
        <w:t xml:space="preserve">For </w:t>
      </w:r>
      <w:r>
        <w:rPr>
          <w:sz w:val="24"/>
          <w:szCs w:val="24"/>
        </w:rPr>
        <w:t>the past few years</w:t>
      </w:r>
      <w:r w:rsidR="00586FA8">
        <w:rPr>
          <w:sz w:val="24"/>
          <w:szCs w:val="24"/>
        </w:rPr>
        <w:t>,</w:t>
      </w:r>
      <w:r>
        <w:rPr>
          <w:sz w:val="24"/>
          <w:szCs w:val="24"/>
        </w:rPr>
        <w:t xml:space="preserve"> the annual </w:t>
      </w:r>
      <w:r w:rsidR="00586FA8">
        <w:rPr>
          <w:sz w:val="24"/>
          <w:szCs w:val="24"/>
        </w:rPr>
        <w:t xml:space="preserve">state-wide </w:t>
      </w:r>
      <w:r>
        <w:rPr>
          <w:sz w:val="24"/>
          <w:szCs w:val="24"/>
        </w:rPr>
        <w:t>Warrant Round-up</w:t>
      </w:r>
      <w:r w:rsidRPr="00DB7726">
        <w:rPr>
          <w:sz w:val="24"/>
          <w:szCs w:val="24"/>
        </w:rPr>
        <w:t xml:space="preserve"> has proven </w:t>
      </w:r>
      <w:r w:rsidR="00586FA8">
        <w:rPr>
          <w:sz w:val="24"/>
          <w:szCs w:val="24"/>
        </w:rPr>
        <w:t xml:space="preserve">to be </w:t>
      </w:r>
      <w:r w:rsidRPr="00DB7726">
        <w:rPr>
          <w:sz w:val="24"/>
          <w:szCs w:val="24"/>
        </w:rPr>
        <w:t>one of the largest and most successful joint operations of its kind</w:t>
      </w:r>
      <w:r w:rsidR="00586FA8">
        <w:rPr>
          <w:sz w:val="24"/>
          <w:szCs w:val="24"/>
        </w:rPr>
        <w:t>.</w:t>
      </w:r>
      <w:r w:rsidRPr="00DB7726">
        <w:rPr>
          <w:sz w:val="24"/>
          <w:szCs w:val="24"/>
        </w:rPr>
        <w:t xml:space="preserve"> The fundamental concept behind the program involves multiple cities across Texas joining together to actively serve outstanding arrest warrants. This is an important venture for municipalities, because while warrants are regularly served by each jurisdiction, such a large and combined effort provides much greater opportunities for warrant service. </w:t>
      </w:r>
    </w:p>
    <w:p w:rsidR="00DB7726" w:rsidRPr="00DB7726" w:rsidRDefault="00DB7726" w:rsidP="00DB7726">
      <w:pPr>
        <w:jc w:val="both"/>
        <w:rPr>
          <w:sz w:val="24"/>
          <w:szCs w:val="24"/>
        </w:rPr>
      </w:pPr>
    </w:p>
    <w:p w:rsidR="00586FA8" w:rsidRDefault="00DB7726" w:rsidP="00DB7726">
      <w:pPr>
        <w:jc w:val="both"/>
        <w:rPr>
          <w:sz w:val="24"/>
          <w:szCs w:val="24"/>
        </w:rPr>
      </w:pPr>
      <w:r w:rsidRPr="00DB7726">
        <w:rPr>
          <w:sz w:val="24"/>
          <w:szCs w:val="24"/>
        </w:rPr>
        <w:t>Hundreds of th</w:t>
      </w:r>
      <w:r w:rsidR="00DE4863">
        <w:rPr>
          <w:sz w:val="24"/>
          <w:szCs w:val="24"/>
        </w:rPr>
        <w:t xml:space="preserve">ousands of notices will </w:t>
      </w:r>
      <w:r w:rsidR="00586FA8">
        <w:rPr>
          <w:sz w:val="24"/>
          <w:szCs w:val="24"/>
        </w:rPr>
        <w:t>been mailed state-</w:t>
      </w:r>
      <w:r w:rsidRPr="00DB7726">
        <w:rPr>
          <w:sz w:val="24"/>
          <w:szCs w:val="24"/>
        </w:rPr>
        <w:t>wide to individuals with outstanding warrants. Representatives from the City of La Porte will also begin making nu</w:t>
      </w:r>
      <w:r w:rsidR="00586FA8">
        <w:rPr>
          <w:sz w:val="24"/>
          <w:szCs w:val="24"/>
        </w:rPr>
        <w:t xml:space="preserve">merous phone calls to those with </w:t>
      </w:r>
      <w:r w:rsidRPr="00DB7726">
        <w:rPr>
          <w:sz w:val="24"/>
          <w:szCs w:val="24"/>
        </w:rPr>
        <w:t xml:space="preserve">outstanding </w:t>
      </w:r>
      <w:r w:rsidR="00586FA8">
        <w:rPr>
          <w:sz w:val="24"/>
          <w:szCs w:val="24"/>
        </w:rPr>
        <w:t xml:space="preserve">local </w:t>
      </w:r>
      <w:r w:rsidRPr="00DB7726">
        <w:rPr>
          <w:sz w:val="24"/>
          <w:szCs w:val="24"/>
        </w:rPr>
        <w:t>warrants</w:t>
      </w:r>
      <w:r w:rsidR="00586FA8">
        <w:rPr>
          <w:sz w:val="24"/>
          <w:szCs w:val="24"/>
        </w:rPr>
        <w:t xml:space="preserve">.  This is being done to encourage citizens to take care of their outstanding warrants and avoid being arrested. </w:t>
      </w:r>
      <w:r w:rsidRPr="00DB7726">
        <w:rPr>
          <w:sz w:val="24"/>
          <w:szCs w:val="24"/>
        </w:rPr>
        <w:t xml:space="preserve"> </w:t>
      </w:r>
    </w:p>
    <w:p w:rsidR="00586FA8" w:rsidRDefault="00586FA8" w:rsidP="00DB7726">
      <w:pPr>
        <w:jc w:val="both"/>
        <w:rPr>
          <w:sz w:val="24"/>
          <w:szCs w:val="24"/>
        </w:rPr>
      </w:pPr>
    </w:p>
    <w:p w:rsidR="00DB7726" w:rsidRPr="00DB7726" w:rsidRDefault="00586FA8" w:rsidP="00DB7726">
      <w:pPr>
        <w:jc w:val="both"/>
        <w:rPr>
          <w:sz w:val="24"/>
          <w:szCs w:val="24"/>
        </w:rPr>
      </w:pPr>
      <w:r>
        <w:rPr>
          <w:sz w:val="24"/>
          <w:szCs w:val="24"/>
        </w:rPr>
        <w:t>P</w:t>
      </w:r>
      <w:r w:rsidR="00DB7726" w:rsidRPr="00DB7726">
        <w:rPr>
          <w:sz w:val="24"/>
          <w:szCs w:val="24"/>
        </w:rPr>
        <w:t>eople with outstanding warrants should contact the City of La Porte during the two week period to dispose of their cases voluntarily to avoid the inconvenience and embarrassment of arrest at home or work</w:t>
      </w:r>
      <w:r>
        <w:rPr>
          <w:sz w:val="24"/>
          <w:szCs w:val="24"/>
        </w:rPr>
        <w:t>.</w:t>
      </w:r>
      <w:r w:rsidR="00DB7726" w:rsidRPr="00DB7726">
        <w:rPr>
          <w:sz w:val="24"/>
          <w:szCs w:val="24"/>
        </w:rPr>
        <w:t xml:space="preserve"> </w:t>
      </w:r>
      <w:r>
        <w:rPr>
          <w:sz w:val="24"/>
          <w:szCs w:val="24"/>
        </w:rPr>
        <w:t>D</w:t>
      </w:r>
      <w:r w:rsidR="00DB7726" w:rsidRPr="00DB7726">
        <w:rPr>
          <w:sz w:val="24"/>
          <w:szCs w:val="24"/>
        </w:rPr>
        <w:t xml:space="preserve">efendants should </w:t>
      </w:r>
      <w:r>
        <w:rPr>
          <w:sz w:val="24"/>
          <w:szCs w:val="24"/>
        </w:rPr>
        <w:t xml:space="preserve">also </w:t>
      </w:r>
      <w:r w:rsidR="00DB7726" w:rsidRPr="00DB7726">
        <w:rPr>
          <w:sz w:val="24"/>
          <w:szCs w:val="24"/>
        </w:rPr>
        <w:t xml:space="preserve">be aware that their outstanding warrants have been reported to DPS and, as such, they will not be allowed to renew a driver’s license until all warrants are cleared. </w:t>
      </w:r>
    </w:p>
    <w:p w:rsidR="00DB7726" w:rsidRPr="00DB7726" w:rsidRDefault="00DB7726" w:rsidP="00DB7726">
      <w:pPr>
        <w:jc w:val="both"/>
        <w:rPr>
          <w:sz w:val="24"/>
          <w:szCs w:val="24"/>
        </w:rPr>
      </w:pPr>
    </w:p>
    <w:p w:rsidR="00DB7726" w:rsidRPr="00DB7726" w:rsidRDefault="000E1F46" w:rsidP="00DB7726">
      <w:pPr>
        <w:jc w:val="both"/>
        <w:rPr>
          <w:sz w:val="24"/>
          <w:szCs w:val="24"/>
        </w:rPr>
      </w:pPr>
      <w:r>
        <w:rPr>
          <w:sz w:val="24"/>
          <w:szCs w:val="24"/>
        </w:rPr>
        <w:t>In addition to their regular hours of operation, t</w:t>
      </w:r>
      <w:r w:rsidR="00DB7726" w:rsidRPr="00DB7726">
        <w:rPr>
          <w:sz w:val="24"/>
          <w:szCs w:val="24"/>
        </w:rPr>
        <w:t>he La Porte Mu</w:t>
      </w:r>
      <w:r>
        <w:rPr>
          <w:sz w:val="24"/>
          <w:szCs w:val="24"/>
        </w:rPr>
        <w:t xml:space="preserve">nicipal Court </w:t>
      </w:r>
      <w:r w:rsidR="00586FA8">
        <w:rPr>
          <w:sz w:val="24"/>
          <w:szCs w:val="24"/>
        </w:rPr>
        <w:t xml:space="preserve">will be extending its </w:t>
      </w:r>
      <w:r w:rsidR="00DB7726" w:rsidRPr="00DB7726">
        <w:rPr>
          <w:sz w:val="24"/>
          <w:szCs w:val="24"/>
        </w:rPr>
        <w:t xml:space="preserve">operating hours </w:t>
      </w:r>
      <w:r w:rsidR="00DE4863">
        <w:rPr>
          <w:sz w:val="24"/>
          <w:szCs w:val="24"/>
        </w:rPr>
        <w:t>on Tuesday</w:t>
      </w:r>
      <w:r>
        <w:rPr>
          <w:sz w:val="24"/>
          <w:szCs w:val="24"/>
        </w:rPr>
        <w:t>s</w:t>
      </w:r>
      <w:r w:rsidR="00DE4863">
        <w:rPr>
          <w:sz w:val="24"/>
          <w:szCs w:val="24"/>
        </w:rPr>
        <w:t xml:space="preserve"> and Thursday</w:t>
      </w:r>
      <w:r>
        <w:rPr>
          <w:sz w:val="24"/>
          <w:szCs w:val="24"/>
        </w:rPr>
        <w:t xml:space="preserve">s from 7:30 a.m. – </w:t>
      </w:r>
      <w:r w:rsidR="00DB7726" w:rsidRPr="00DB7726">
        <w:rPr>
          <w:sz w:val="24"/>
          <w:szCs w:val="24"/>
        </w:rPr>
        <w:t>7</w:t>
      </w:r>
      <w:r>
        <w:rPr>
          <w:sz w:val="24"/>
          <w:szCs w:val="24"/>
        </w:rPr>
        <w:t>: 00</w:t>
      </w:r>
      <w:r w:rsidR="00DB7726" w:rsidRPr="00DB7726">
        <w:rPr>
          <w:sz w:val="24"/>
          <w:szCs w:val="24"/>
        </w:rPr>
        <w:t xml:space="preserve"> p.m., in an effort to provide defendants with a larger window of opportunity to</w:t>
      </w:r>
      <w:r w:rsidR="00DE4863">
        <w:rPr>
          <w:sz w:val="24"/>
          <w:szCs w:val="24"/>
        </w:rPr>
        <w:t xml:space="preserve"> either pay fines or</w:t>
      </w:r>
      <w:r w:rsidR="00DB7726" w:rsidRPr="00DB7726">
        <w:rPr>
          <w:sz w:val="24"/>
          <w:szCs w:val="24"/>
        </w:rPr>
        <w:t xml:space="preserve"> take care of any outstanding warrants. </w:t>
      </w:r>
      <w:r w:rsidR="00DE4863">
        <w:rPr>
          <w:sz w:val="24"/>
          <w:szCs w:val="24"/>
        </w:rPr>
        <w:t xml:space="preserve">The existing time extension is expected to be a major asset for warrant holders once the Warrant Round-up operation begins.  </w:t>
      </w:r>
      <w:r w:rsidR="00DB7726" w:rsidRPr="00DB7726">
        <w:rPr>
          <w:sz w:val="24"/>
          <w:szCs w:val="24"/>
        </w:rPr>
        <w:t>P</w:t>
      </w:r>
      <w:r w:rsidR="00DB7726">
        <w:rPr>
          <w:sz w:val="24"/>
          <w:szCs w:val="24"/>
        </w:rPr>
        <w:t>ayment</w:t>
      </w:r>
      <w:r w:rsidR="00DE4863">
        <w:rPr>
          <w:sz w:val="24"/>
          <w:szCs w:val="24"/>
        </w:rPr>
        <w:t>s</w:t>
      </w:r>
      <w:r w:rsidR="00DB7726">
        <w:rPr>
          <w:sz w:val="24"/>
          <w:szCs w:val="24"/>
        </w:rPr>
        <w:t xml:space="preserve"> may be made in the courthouse lobby, located at 3005 North 23</w:t>
      </w:r>
      <w:r w:rsidR="00DB7726" w:rsidRPr="00DB7726">
        <w:rPr>
          <w:sz w:val="24"/>
          <w:szCs w:val="24"/>
          <w:vertAlign w:val="superscript"/>
        </w:rPr>
        <w:t>rd</w:t>
      </w:r>
      <w:r w:rsidR="00DB7726">
        <w:rPr>
          <w:sz w:val="24"/>
          <w:szCs w:val="24"/>
        </w:rPr>
        <w:t xml:space="preserve"> Street,</w:t>
      </w:r>
      <w:r w:rsidR="00DB7726" w:rsidRPr="00DB7726">
        <w:rPr>
          <w:sz w:val="24"/>
          <w:szCs w:val="24"/>
        </w:rPr>
        <w:t xml:space="preserve"> with cash, money order, cashier’s check, or with a Visa or Master Card Credit Card. No personal checks will be accepted. For convenience, defendants may also pay with a credit card over the phone by calling 1-877-224-6076 or pay any outstanding warrant fees on line by logging onto www.municipalonlinepayments.com/laportetx. </w:t>
      </w:r>
    </w:p>
    <w:p w:rsidR="009A09B4" w:rsidRPr="00F76156" w:rsidRDefault="009A09B4" w:rsidP="00DB7726">
      <w:pPr>
        <w:autoSpaceDE w:val="0"/>
        <w:autoSpaceDN w:val="0"/>
        <w:adjustRightInd w:val="0"/>
        <w:jc w:val="both"/>
        <w:rPr>
          <w:b/>
          <w:bCs/>
          <w:sz w:val="16"/>
          <w:szCs w:val="16"/>
        </w:rPr>
      </w:pPr>
    </w:p>
    <w:sectPr w:rsidR="009A09B4" w:rsidRPr="00F76156" w:rsidSect="00600FE2">
      <w:headerReference w:type="default" r:id="rId7"/>
      <w:headerReference w:type="first" r:id="rId8"/>
      <w:footerReference w:type="first" r:id="rId9"/>
      <w:pgSz w:w="12240" w:h="15840" w:code="1"/>
      <w:pgMar w:top="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CE" w:rsidRDefault="000C7FCE">
      <w:r>
        <w:separator/>
      </w:r>
    </w:p>
  </w:endnote>
  <w:endnote w:type="continuationSeparator" w:id="0">
    <w:p w:rsidR="000C7FCE" w:rsidRDefault="000C7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94" w:rsidRDefault="00AF61CB" w:rsidP="00E44A36">
    <w:pPr>
      <w:pStyle w:val="Footer"/>
      <w:rPr>
        <w:i/>
        <w:sz w:val="16"/>
        <w:szCs w:val="16"/>
      </w:rPr>
    </w:pPr>
    <w:r w:rsidRPr="00AF61CB">
      <w:rPr>
        <w:noProof/>
      </w:rPr>
      <w:pict>
        <v:line id="_x0000_s2052" style="position:absolute;z-index:251657216" from="-4.95pt,.8pt" to="472.05pt,.8pt" strokecolor="#339" strokeweight="3pt">
          <v:stroke linestyle="thinThin"/>
        </v:line>
      </w:pict>
    </w:r>
  </w:p>
  <w:p w:rsidR="00581494" w:rsidRPr="00155FA4" w:rsidRDefault="00B575E3"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Steve Gillett</w:t>
    </w:r>
    <w:r w:rsidR="00581494" w:rsidRPr="00155FA4">
      <w:rPr>
        <w:rFonts w:ascii="Calibri" w:hAnsi="Calibri"/>
        <w:b/>
        <w:i/>
        <w:color w:val="333399"/>
        <w:sz w:val="16"/>
        <w:szCs w:val="16"/>
      </w:rPr>
      <w:tab/>
    </w:r>
    <w:r w:rsidR="00581494" w:rsidRPr="00155FA4">
      <w:rPr>
        <w:rFonts w:ascii="Calibri" w:hAnsi="Calibri"/>
        <w:b/>
        <w:i/>
        <w:color w:val="333399"/>
        <w:sz w:val="16"/>
        <w:szCs w:val="16"/>
      </w:rPr>
      <w:tab/>
      <w:t>Kenith Adcox</w:t>
    </w:r>
    <w:r w:rsidR="00581494" w:rsidRPr="00155FA4">
      <w:rPr>
        <w:rFonts w:ascii="Calibri" w:hAnsi="Calibri"/>
        <w:b/>
        <w:i/>
        <w:color w:val="333399"/>
        <w:sz w:val="16"/>
        <w:szCs w:val="16"/>
      </w:rPr>
      <w:tab/>
    </w:r>
  </w:p>
  <w:p w:rsidR="00581494" w:rsidRPr="00155FA4" w:rsidRDefault="00B575E3"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 xml:space="preserve">Interim </w:t>
    </w:r>
    <w:r w:rsidR="00581494" w:rsidRPr="00155FA4">
      <w:rPr>
        <w:rFonts w:ascii="Calibri" w:hAnsi="Calibri"/>
        <w:b/>
        <w:i/>
        <w:color w:val="333399"/>
        <w:sz w:val="16"/>
        <w:szCs w:val="16"/>
      </w:rPr>
      <w:t>City Manager</w:t>
    </w:r>
    <w:r w:rsidR="00581494" w:rsidRPr="00155FA4">
      <w:rPr>
        <w:rFonts w:ascii="Calibri" w:hAnsi="Calibri"/>
        <w:b/>
        <w:i/>
        <w:color w:val="333399"/>
        <w:sz w:val="16"/>
        <w:szCs w:val="16"/>
      </w:rPr>
      <w:tab/>
    </w:r>
    <w:r w:rsidR="00581494" w:rsidRPr="00155FA4">
      <w:rPr>
        <w:rFonts w:ascii="Calibri" w:hAnsi="Calibri"/>
        <w:b/>
        <w:i/>
        <w:color w:val="333399"/>
        <w:sz w:val="16"/>
        <w:szCs w:val="16"/>
      </w:rPr>
      <w:tab/>
      <w:t>Chief of Police</w:t>
    </w:r>
    <w:r w:rsidR="00581494"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CE" w:rsidRDefault="000C7FCE">
      <w:r>
        <w:separator/>
      </w:r>
    </w:p>
  </w:footnote>
  <w:footnote w:type="continuationSeparator" w:id="0">
    <w:p w:rsidR="000C7FCE" w:rsidRDefault="000C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94" w:rsidRDefault="00581494">
    <w:pPr>
      <w:pStyle w:val="Header"/>
    </w:pPr>
  </w:p>
  <w:p w:rsidR="00581494" w:rsidRDefault="00581494">
    <w:pPr>
      <w:pStyle w:val="Header"/>
    </w:pPr>
  </w:p>
  <w:p w:rsidR="00581494" w:rsidRDefault="00581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94" w:rsidRPr="00155FA4" w:rsidRDefault="00581494"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581494" w:rsidRPr="00155FA4" w:rsidRDefault="00581494"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581494" w:rsidRPr="00155FA4" w:rsidRDefault="00581494"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581494" w:rsidRPr="00155FA4" w:rsidRDefault="00581494"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581494" w:rsidRDefault="00AF61CB">
    <w:pPr>
      <w:pStyle w:val="Header"/>
      <w:rPr>
        <w:rFonts w:ascii="Cambria" w:hAnsi="Cambria"/>
        <w:b/>
      </w:rPr>
    </w:pPr>
    <w:r w:rsidRPr="00AF61CB">
      <w:rPr>
        <w:noProof/>
      </w:rPr>
      <w:pict>
        <v:line id="_x0000_s2051" style="position:absolute;flip:y;z-index:251656192" from="51pt,11.2pt" to="402.75pt,11.2pt" strokecolor="#339" strokeweight="3pt">
          <v:stroke linestyle="thinThin"/>
        </v:line>
      </w:pict>
    </w:r>
  </w:p>
  <w:p w:rsidR="00581494" w:rsidRPr="001C6C1D" w:rsidRDefault="00581494">
    <w:pPr>
      <w:pStyle w:val="Header"/>
      <w:rPr>
        <w:rFonts w:ascii="Cambria" w:hAnsi="Cambri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26334"/>
    <w:rsid w:val="000517E9"/>
    <w:rsid w:val="0007170C"/>
    <w:rsid w:val="000729FF"/>
    <w:rsid w:val="00075176"/>
    <w:rsid w:val="000B43AB"/>
    <w:rsid w:val="000C7FCE"/>
    <w:rsid w:val="000D7EEF"/>
    <w:rsid w:val="000E1F46"/>
    <w:rsid w:val="000F5E6B"/>
    <w:rsid w:val="00103792"/>
    <w:rsid w:val="0011173B"/>
    <w:rsid w:val="00114F74"/>
    <w:rsid w:val="00135367"/>
    <w:rsid w:val="00155FA4"/>
    <w:rsid w:val="00176211"/>
    <w:rsid w:val="0018177E"/>
    <w:rsid w:val="001C6C1D"/>
    <w:rsid w:val="001E7BF7"/>
    <w:rsid w:val="0020496F"/>
    <w:rsid w:val="00221F31"/>
    <w:rsid w:val="0022233B"/>
    <w:rsid w:val="00227261"/>
    <w:rsid w:val="002314E6"/>
    <w:rsid w:val="0024582A"/>
    <w:rsid w:val="002512D9"/>
    <w:rsid w:val="00257606"/>
    <w:rsid w:val="002832FE"/>
    <w:rsid w:val="00284AA0"/>
    <w:rsid w:val="00292F9D"/>
    <w:rsid w:val="00292FB8"/>
    <w:rsid w:val="002B7261"/>
    <w:rsid w:val="002B7DB5"/>
    <w:rsid w:val="002C02EB"/>
    <w:rsid w:val="002E57F8"/>
    <w:rsid w:val="002F4DDD"/>
    <w:rsid w:val="00303DC6"/>
    <w:rsid w:val="00323649"/>
    <w:rsid w:val="0033126B"/>
    <w:rsid w:val="00341132"/>
    <w:rsid w:val="00346226"/>
    <w:rsid w:val="00351167"/>
    <w:rsid w:val="0035128A"/>
    <w:rsid w:val="00352408"/>
    <w:rsid w:val="0036084E"/>
    <w:rsid w:val="003704C1"/>
    <w:rsid w:val="00377B0F"/>
    <w:rsid w:val="00381811"/>
    <w:rsid w:val="00383ECE"/>
    <w:rsid w:val="00384F1B"/>
    <w:rsid w:val="003870E8"/>
    <w:rsid w:val="00391220"/>
    <w:rsid w:val="003B0435"/>
    <w:rsid w:val="003B39A7"/>
    <w:rsid w:val="003B6B9E"/>
    <w:rsid w:val="003C7CCB"/>
    <w:rsid w:val="003D317F"/>
    <w:rsid w:val="003E263F"/>
    <w:rsid w:val="003E27B4"/>
    <w:rsid w:val="003E2864"/>
    <w:rsid w:val="003F2FF4"/>
    <w:rsid w:val="003F6D11"/>
    <w:rsid w:val="00420B28"/>
    <w:rsid w:val="004258BD"/>
    <w:rsid w:val="00435548"/>
    <w:rsid w:val="0044779B"/>
    <w:rsid w:val="004504D2"/>
    <w:rsid w:val="0045327C"/>
    <w:rsid w:val="00456549"/>
    <w:rsid w:val="004700F9"/>
    <w:rsid w:val="00470B88"/>
    <w:rsid w:val="00470E20"/>
    <w:rsid w:val="00497707"/>
    <w:rsid w:val="004B6F4F"/>
    <w:rsid w:val="004E17C0"/>
    <w:rsid w:val="005062EC"/>
    <w:rsid w:val="00512556"/>
    <w:rsid w:val="005128BD"/>
    <w:rsid w:val="00524131"/>
    <w:rsid w:val="00525EC5"/>
    <w:rsid w:val="0052759A"/>
    <w:rsid w:val="005325F1"/>
    <w:rsid w:val="00535DC1"/>
    <w:rsid w:val="00541C8C"/>
    <w:rsid w:val="005450F1"/>
    <w:rsid w:val="00581494"/>
    <w:rsid w:val="0058362C"/>
    <w:rsid w:val="005841EE"/>
    <w:rsid w:val="00585320"/>
    <w:rsid w:val="00585752"/>
    <w:rsid w:val="00586FA8"/>
    <w:rsid w:val="00591626"/>
    <w:rsid w:val="005D4B9F"/>
    <w:rsid w:val="005E619E"/>
    <w:rsid w:val="005F0248"/>
    <w:rsid w:val="00600FE2"/>
    <w:rsid w:val="00602177"/>
    <w:rsid w:val="006066F7"/>
    <w:rsid w:val="00625B74"/>
    <w:rsid w:val="00647D39"/>
    <w:rsid w:val="00657827"/>
    <w:rsid w:val="00667F96"/>
    <w:rsid w:val="006710C3"/>
    <w:rsid w:val="00671F0C"/>
    <w:rsid w:val="00674604"/>
    <w:rsid w:val="006A0FBD"/>
    <w:rsid w:val="006B39E4"/>
    <w:rsid w:val="006B4DB4"/>
    <w:rsid w:val="006D1EE7"/>
    <w:rsid w:val="0070465A"/>
    <w:rsid w:val="00706678"/>
    <w:rsid w:val="00722AA1"/>
    <w:rsid w:val="007264BE"/>
    <w:rsid w:val="00737FA0"/>
    <w:rsid w:val="00751392"/>
    <w:rsid w:val="00776F25"/>
    <w:rsid w:val="007915D8"/>
    <w:rsid w:val="007B34CD"/>
    <w:rsid w:val="007C2F70"/>
    <w:rsid w:val="007D0537"/>
    <w:rsid w:val="007D7E5B"/>
    <w:rsid w:val="007E20EB"/>
    <w:rsid w:val="007F5E69"/>
    <w:rsid w:val="007F614F"/>
    <w:rsid w:val="00801BD1"/>
    <w:rsid w:val="00807B09"/>
    <w:rsid w:val="00814FAB"/>
    <w:rsid w:val="0081647B"/>
    <w:rsid w:val="00832898"/>
    <w:rsid w:val="00845E68"/>
    <w:rsid w:val="00854D69"/>
    <w:rsid w:val="00874957"/>
    <w:rsid w:val="00875BB5"/>
    <w:rsid w:val="008A382D"/>
    <w:rsid w:val="008C2445"/>
    <w:rsid w:val="008C6998"/>
    <w:rsid w:val="008C7D8B"/>
    <w:rsid w:val="008D1433"/>
    <w:rsid w:val="008D3A0A"/>
    <w:rsid w:val="008D5005"/>
    <w:rsid w:val="008E69A8"/>
    <w:rsid w:val="008F2D6E"/>
    <w:rsid w:val="0091377D"/>
    <w:rsid w:val="00957F74"/>
    <w:rsid w:val="00963290"/>
    <w:rsid w:val="00963B20"/>
    <w:rsid w:val="00992853"/>
    <w:rsid w:val="009A09B4"/>
    <w:rsid w:val="009B5B32"/>
    <w:rsid w:val="009C7B28"/>
    <w:rsid w:val="009D4E1A"/>
    <w:rsid w:val="009E3ADE"/>
    <w:rsid w:val="009E68E0"/>
    <w:rsid w:val="009F1A3B"/>
    <w:rsid w:val="009F2BDA"/>
    <w:rsid w:val="009F602F"/>
    <w:rsid w:val="00A07156"/>
    <w:rsid w:val="00A13056"/>
    <w:rsid w:val="00A177EB"/>
    <w:rsid w:val="00A35245"/>
    <w:rsid w:val="00A439B2"/>
    <w:rsid w:val="00A442CC"/>
    <w:rsid w:val="00A47234"/>
    <w:rsid w:val="00A50299"/>
    <w:rsid w:val="00A50B6D"/>
    <w:rsid w:val="00A52DCA"/>
    <w:rsid w:val="00A70AE4"/>
    <w:rsid w:val="00A70FC3"/>
    <w:rsid w:val="00A81712"/>
    <w:rsid w:val="00AB274D"/>
    <w:rsid w:val="00AC019D"/>
    <w:rsid w:val="00AD0422"/>
    <w:rsid w:val="00AD6143"/>
    <w:rsid w:val="00AE4E0A"/>
    <w:rsid w:val="00AE5A3B"/>
    <w:rsid w:val="00AE7954"/>
    <w:rsid w:val="00AF3A4F"/>
    <w:rsid w:val="00AF61CB"/>
    <w:rsid w:val="00B0701F"/>
    <w:rsid w:val="00B461E5"/>
    <w:rsid w:val="00B46766"/>
    <w:rsid w:val="00B509C3"/>
    <w:rsid w:val="00B575E3"/>
    <w:rsid w:val="00B667F5"/>
    <w:rsid w:val="00B75342"/>
    <w:rsid w:val="00B86854"/>
    <w:rsid w:val="00B904F8"/>
    <w:rsid w:val="00B91BD1"/>
    <w:rsid w:val="00B97F50"/>
    <w:rsid w:val="00BC0360"/>
    <w:rsid w:val="00BC4202"/>
    <w:rsid w:val="00BD2E86"/>
    <w:rsid w:val="00BE2813"/>
    <w:rsid w:val="00BE64AA"/>
    <w:rsid w:val="00BF3391"/>
    <w:rsid w:val="00C10FBC"/>
    <w:rsid w:val="00C41C87"/>
    <w:rsid w:val="00C527A6"/>
    <w:rsid w:val="00C75552"/>
    <w:rsid w:val="00C83F6B"/>
    <w:rsid w:val="00C85ABE"/>
    <w:rsid w:val="00C86AC6"/>
    <w:rsid w:val="00C91089"/>
    <w:rsid w:val="00C97201"/>
    <w:rsid w:val="00CB3AF8"/>
    <w:rsid w:val="00CD343C"/>
    <w:rsid w:val="00D21A2F"/>
    <w:rsid w:val="00D2415B"/>
    <w:rsid w:val="00D40B7B"/>
    <w:rsid w:val="00D43429"/>
    <w:rsid w:val="00D45F94"/>
    <w:rsid w:val="00D52C92"/>
    <w:rsid w:val="00D552B0"/>
    <w:rsid w:val="00D61C38"/>
    <w:rsid w:val="00D66601"/>
    <w:rsid w:val="00D74ACA"/>
    <w:rsid w:val="00D7579F"/>
    <w:rsid w:val="00D83D39"/>
    <w:rsid w:val="00DB7726"/>
    <w:rsid w:val="00DC105D"/>
    <w:rsid w:val="00DC16E2"/>
    <w:rsid w:val="00DE11BE"/>
    <w:rsid w:val="00DE3C86"/>
    <w:rsid w:val="00DE4863"/>
    <w:rsid w:val="00DE6773"/>
    <w:rsid w:val="00DF38B7"/>
    <w:rsid w:val="00E04B99"/>
    <w:rsid w:val="00E06629"/>
    <w:rsid w:val="00E26E9A"/>
    <w:rsid w:val="00E3042A"/>
    <w:rsid w:val="00E44A36"/>
    <w:rsid w:val="00E51CCA"/>
    <w:rsid w:val="00EA23DF"/>
    <w:rsid w:val="00EB0DCA"/>
    <w:rsid w:val="00EB4361"/>
    <w:rsid w:val="00EB6ED6"/>
    <w:rsid w:val="00EB7F05"/>
    <w:rsid w:val="00EC62FC"/>
    <w:rsid w:val="00EE6B0A"/>
    <w:rsid w:val="00F0529F"/>
    <w:rsid w:val="00F11AE1"/>
    <w:rsid w:val="00F227EE"/>
    <w:rsid w:val="00F23F91"/>
    <w:rsid w:val="00F23FB7"/>
    <w:rsid w:val="00F31482"/>
    <w:rsid w:val="00F3393C"/>
    <w:rsid w:val="00F42F38"/>
    <w:rsid w:val="00F75F66"/>
    <w:rsid w:val="00F92AA0"/>
    <w:rsid w:val="00F962D2"/>
    <w:rsid w:val="00FB39B3"/>
    <w:rsid w:val="00FC7CF5"/>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uiPriority w:val="99"/>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paragraph" w:customStyle="1" w:styleId="left">
    <w:name w:val="left"/>
    <w:basedOn w:val="Normal"/>
    <w:rsid w:val="003870E8"/>
    <w:pPr>
      <w:spacing w:line="360" w:lineRule="atLeast"/>
    </w:pPr>
    <w:rPr>
      <w:rFonts w:ascii="Courier New" w:hAnsi="Courier New" w:cs="Courier New"/>
      <w:sz w:val="24"/>
      <w:szCs w:val="24"/>
    </w:rPr>
  </w:style>
  <w:style w:type="character" w:styleId="Emphasis">
    <w:name w:val="Emphasis"/>
    <w:basedOn w:val="DefaultParagraphFont"/>
    <w:uiPriority w:val="20"/>
    <w:qFormat/>
    <w:locked/>
    <w:rsid w:val="0007517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428</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La Porte Police Department          </vt:lpstr>
    </vt:vector>
  </TitlesOfParts>
  <Company>City of La Porte</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Porte Police Department          </dc:title>
  <dc:subject/>
  <dc:creator>Richard Reff</dc:creator>
  <cp:keywords/>
  <dc:description/>
  <cp:lastModifiedBy>kruegerj</cp:lastModifiedBy>
  <cp:revision>3</cp:revision>
  <cp:lastPrinted>2010-05-13T19:15:00Z</cp:lastPrinted>
  <dcterms:created xsi:type="dcterms:W3CDTF">2012-02-10T04:47:00Z</dcterms:created>
  <dcterms:modified xsi:type="dcterms:W3CDTF">2012-02-12T00:00:00Z</dcterms:modified>
</cp:coreProperties>
</file>